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82"/>
      </w:tblGrid>
      <w:tr w:rsidR="00826AC0" w:rsidRPr="00826AC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826AC0" w:rsidRPr="00826AC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800000"/>
                      <w:sz w:val="27"/>
                      <w:szCs w:val="27"/>
                      <w:lang w:eastAsia="cs-CZ"/>
                    </w:rPr>
                    <w:t>Něco málo z historie třebíčských kuželek</w:t>
                  </w:r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color w:val="800000"/>
                      <w:sz w:val="17"/>
                      <w:szCs w:val="17"/>
                      <w:lang w:eastAsia="cs-CZ"/>
                    </w:rPr>
                    <w:br/>
                  </w:r>
                  <w:r w:rsidRPr="00826AC0">
                    <w:rPr>
                      <w:rFonts w:ascii="Times New Roman CE" w:eastAsia="Times New Roman" w:hAnsi="Times New Roman CE" w:cs="Times New Roman CE"/>
                      <w:i/>
                      <w:iCs/>
                      <w:color w:val="800000"/>
                      <w:sz w:val="17"/>
                      <w:lang w:eastAsia="cs-CZ"/>
                    </w:rPr>
                    <w:t xml:space="preserve">převážná většina materiálů čerpána z kroniky TJ Třebíč, kterou dlouhá léta tvořil Zdeněk </w:t>
                  </w:r>
                  <w:proofErr w:type="spellStart"/>
                  <w:r w:rsidRPr="00826AC0">
                    <w:rPr>
                      <w:rFonts w:ascii="Times New Roman CE" w:eastAsia="Times New Roman" w:hAnsi="Times New Roman CE" w:cs="Times New Roman CE"/>
                      <w:i/>
                      <w:iCs/>
                      <w:color w:val="800000"/>
                      <w:sz w:val="17"/>
                      <w:lang w:eastAsia="cs-CZ"/>
                    </w:rPr>
                    <w:t>Fejta</w:t>
                  </w:r>
                  <w:proofErr w:type="spellEnd"/>
                  <w:r w:rsidRPr="00826AC0">
                    <w:rPr>
                      <w:rFonts w:ascii="Times New Roman CE" w:eastAsia="Times New Roman" w:hAnsi="Times New Roman CE" w:cs="Times New Roman CE"/>
                      <w:i/>
                      <w:iCs/>
                      <w:color w:val="800000"/>
                      <w:sz w:val="17"/>
                      <w:lang w:eastAsia="cs-CZ"/>
                    </w:rPr>
                    <w:t>, Stanislav Neradil a Petr Smejkal</w:t>
                  </w:r>
                  <w:r w:rsidRPr="00826AC0">
                    <w:rPr>
                      <w:rFonts w:ascii="Times New Roman CE" w:eastAsia="Times New Roman" w:hAnsi="Times New Roman CE" w:cs="Times New Roman CE"/>
                      <w:color w:val="800000"/>
                      <w:sz w:val="17"/>
                      <w:szCs w:val="17"/>
                      <w:lang w:eastAsia="cs-CZ"/>
                    </w:rPr>
                    <w:t xml:space="preserve"> </w:t>
                  </w:r>
                  <w:r w:rsidRPr="00826AC0">
                    <w:rPr>
                      <w:rFonts w:ascii="Times New Roman CE" w:eastAsia="Times New Roman" w:hAnsi="Times New Roman CE" w:cs="Times New Roman CE"/>
                      <w:i/>
                      <w:iCs/>
                      <w:color w:val="800000"/>
                      <w:sz w:val="17"/>
                      <w:lang w:eastAsia="cs-CZ"/>
                    </w:rPr>
                    <w:t>a TJ BOPO , kterou tvořil F. Drápela</w:t>
                  </w:r>
                  <w:r w:rsidRPr="00826AC0">
                    <w:rPr>
                      <w:rFonts w:ascii="Times New Roman CE" w:eastAsia="Times New Roman" w:hAnsi="Times New Roman CE" w:cs="Times New Roman CE"/>
                      <w:i/>
                      <w:iCs/>
                      <w:color w:val="800000"/>
                      <w:sz w:val="17"/>
                      <w:szCs w:val="17"/>
                      <w:lang w:eastAsia="cs-CZ"/>
                    </w:rPr>
                    <w:br/>
                  </w:r>
                  <w:r w:rsidRPr="00826AC0">
                    <w:rPr>
                      <w:rFonts w:ascii="Times New Roman CE" w:eastAsia="Times New Roman" w:hAnsi="Times New Roman CE" w:cs="Times New Roman CE"/>
                      <w:color w:val="800000"/>
                      <w:sz w:val="17"/>
                      <w:szCs w:val="17"/>
                      <w:lang w:eastAsia="cs-CZ"/>
                    </w:rPr>
                    <w:t>Tato stránka je věnována památce všech kuželkářů, kteří se nedožili těchto dnů a velkou měrou se zasloužili o rozvoj tohoto sportu v Třebíči</w:t>
                  </w:r>
                  <w:r w:rsidRPr="00826AC0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t xml:space="preserve"> </w:t>
                  </w:r>
                </w:p>
              </w:tc>
            </w:tr>
          </w:tbl>
          <w:p w:rsidR="00826AC0" w:rsidRPr="00826AC0" w:rsidRDefault="00826AC0" w:rsidP="00826A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</w:pPr>
          </w:p>
        </w:tc>
      </w:tr>
      <w:tr w:rsidR="00826AC0" w:rsidRPr="00826AC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6"/>
              <w:gridCol w:w="4746"/>
            </w:tblGrid>
            <w:tr w:rsidR="00826AC0" w:rsidRPr="00826AC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r w:rsidRPr="00826AC0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905000" cy="1371600"/>
                        <wp:effectExtent l="19050" t="0" r="0" b="0"/>
                        <wp:docPr id="1" name="obrázek 1" descr="http://web.quick.cz/kupova/images/historie/trebicjisk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eb.quick.cz/kupova/images/historie/trebicjisk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6AC0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t xml:space="preserve"> </w:t>
                  </w:r>
                </w:p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r w:rsidRPr="00826AC0">
                    <w:rPr>
                      <w:rFonts w:ascii="Arial" w:eastAsia="Times New Roman" w:hAnsi="Arial" w:cs="Arial"/>
                      <w:color w:val="4B3E05"/>
                      <w:sz w:val="15"/>
                      <w:szCs w:val="15"/>
                      <w:lang w:eastAsia="cs-CZ"/>
                    </w:rPr>
                    <w:t>Průkopníci kuželek při vzájemném měření sil</w:t>
                  </w:r>
                  <w:r w:rsidRPr="00826AC0">
                    <w:rPr>
                      <w:rFonts w:ascii="Arial" w:eastAsia="Times New Roman" w:hAnsi="Arial" w:cs="Arial"/>
                      <w:color w:val="4B3E05"/>
                      <w:sz w:val="15"/>
                      <w:szCs w:val="15"/>
                      <w:lang w:eastAsia="cs-CZ"/>
                    </w:rPr>
                    <w:br/>
                    <w:t>Spartak Třebíč - Jiskra Borovina - Nástup hráčů před mistrovským utkáním</w:t>
                  </w:r>
                  <w:r w:rsidRPr="00826AC0">
                    <w:rPr>
                      <w:rFonts w:ascii="Arial" w:eastAsia="Times New Roman" w:hAnsi="Arial" w:cs="Arial"/>
                      <w:color w:val="4B3E05"/>
                      <w:sz w:val="15"/>
                      <w:szCs w:val="15"/>
                      <w:lang w:eastAsia="cs-CZ"/>
                    </w:rPr>
                    <w:br/>
                  </w:r>
                  <w:r w:rsidRPr="00826AC0">
                    <w:rPr>
                      <w:rFonts w:ascii="Arial" w:eastAsia="Times New Roman" w:hAnsi="Arial" w:cs="Arial"/>
                      <w:color w:val="FF8000"/>
                      <w:sz w:val="20"/>
                      <w:szCs w:val="20"/>
                      <w:u w:val="single"/>
                      <w:lang w:eastAsia="cs-CZ"/>
                    </w:rPr>
                    <w:t>Spartak Třebíč (na snímku zprava)</w:t>
                  </w:r>
                  <w:r w:rsidRPr="00826AC0">
                    <w:rPr>
                      <w:rFonts w:ascii="Arial" w:eastAsia="Times New Roman" w:hAnsi="Arial" w:cs="Arial"/>
                      <w:color w:val="FF8000"/>
                      <w:sz w:val="20"/>
                      <w:szCs w:val="20"/>
                      <w:lang w:eastAsia="cs-CZ"/>
                    </w:rPr>
                    <w:br/>
                  </w:r>
                  <w:r w:rsidRPr="00826AC0">
                    <w:rPr>
                      <w:rFonts w:ascii="Arial" w:eastAsia="Times New Roman" w:hAnsi="Arial" w:cs="Arial"/>
                      <w:color w:val="4B3E05"/>
                      <w:sz w:val="20"/>
                      <w:szCs w:val="20"/>
                      <w:lang w:eastAsia="cs-CZ"/>
                    </w:rPr>
                    <w:t xml:space="preserve">Prokeš, Hašek, Neradil,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4B3E05"/>
                      <w:sz w:val="20"/>
                      <w:szCs w:val="20"/>
                      <w:lang w:eastAsia="cs-CZ"/>
                    </w:rPr>
                    <w:t>Smílek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4B3E05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4B3E05"/>
                      <w:sz w:val="20"/>
                      <w:szCs w:val="20"/>
                      <w:lang w:eastAsia="cs-CZ"/>
                    </w:rPr>
                    <w:t>Kršňák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4B3E05"/>
                      <w:sz w:val="20"/>
                      <w:szCs w:val="20"/>
                      <w:lang w:eastAsia="cs-CZ"/>
                    </w:rPr>
                    <w:t>, Růžička</w:t>
                  </w:r>
                  <w:r w:rsidRPr="00826AC0">
                    <w:rPr>
                      <w:rFonts w:ascii="Arial" w:eastAsia="Times New Roman" w:hAnsi="Arial" w:cs="Arial"/>
                      <w:color w:val="4B3E05"/>
                      <w:sz w:val="20"/>
                      <w:szCs w:val="20"/>
                      <w:lang w:eastAsia="cs-CZ"/>
                    </w:rPr>
                    <w:br/>
                  </w:r>
                  <w:r w:rsidRPr="00826AC0">
                    <w:rPr>
                      <w:rFonts w:ascii="Arial" w:eastAsia="Times New Roman" w:hAnsi="Arial" w:cs="Arial"/>
                      <w:color w:val="FF8000"/>
                      <w:sz w:val="20"/>
                      <w:szCs w:val="20"/>
                      <w:u w:val="single"/>
                      <w:lang w:eastAsia="cs-CZ"/>
                    </w:rPr>
                    <w:t>Jiskra Borovina (na snímku zleva)</w:t>
                  </w:r>
                  <w:r w:rsidRPr="00826AC0">
                    <w:rPr>
                      <w:rFonts w:ascii="Arial" w:eastAsia="Times New Roman" w:hAnsi="Arial" w:cs="Arial"/>
                      <w:color w:val="FF8000"/>
                      <w:sz w:val="20"/>
                      <w:szCs w:val="20"/>
                      <w:lang w:eastAsia="cs-CZ"/>
                    </w:rPr>
                    <w:br/>
                  </w:r>
                  <w:r w:rsidRPr="00826AC0">
                    <w:rPr>
                      <w:rFonts w:ascii="Arial" w:eastAsia="Times New Roman" w:hAnsi="Arial" w:cs="Arial"/>
                      <w:color w:val="4B3E05"/>
                      <w:sz w:val="15"/>
                      <w:szCs w:val="15"/>
                      <w:lang w:eastAsia="cs-CZ"/>
                    </w:rPr>
                    <w:t>Hobza, Štros, Trnčák, Drápela, Svoboda, Novák</w:t>
                  </w:r>
                </w:p>
              </w:tc>
              <w:tc>
                <w:tcPr>
                  <w:tcW w:w="0" w:type="auto"/>
                  <w:hideMark/>
                </w:tcPr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990725" cy="1447800"/>
                        <wp:effectExtent l="19050" t="0" r="9525" b="0"/>
                        <wp:docPr id="2" name="obrázek 2" descr="http://web.quick.cz/kupova/images/historie/borov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eb.quick.cz/kupova/images/historie/borov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r w:rsidRPr="00826AC0">
                    <w:rPr>
                      <w:rFonts w:ascii="Arial" w:eastAsia="Times New Roman" w:hAnsi="Arial" w:cs="Arial"/>
                      <w:color w:val="804000"/>
                      <w:sz w:val="15"/>
                      <w:szCs w:val="15"/>
                      <w:lang w:eastAsia="cs-CZ"/>
                    </w:rPr>
                    <w:t xml:space="preserve">Snímek kuželkářské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804000"/>
                      <w:sz w:val="15"/>
                      <w:szCs w:val="15"/>
                      <w:lang w:eastAsia="cs-CZ"/>
                    </w:rPr>
                    <w:t>jednodráhy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804000"/>
                      <w:sz w:val="15"/>
                      <w:szCs w:val="15"/>
                      <w:lang w:eastAsia="cs-CZ"/>
                    </w:rPr>
                    <w:t xml:space="preserve"> s betonovým povrchem v Borovině na sklonku roku 1938</w:t>
                  </w:r>
                </w:p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hyperlink r:id="rId6" w:history="1">
                    <w:r w:rsidRPr="00826AC0">
                      <w:rPr>
                        <w:rFonts w:ascii="Arial" w:eastAsia="Times New Roman" w:hAnsi="Arial" w:cs="Arial"/>
                        <w:color w:val="003366"/>
                        <w:sz w:val="15"/>
                        <w:lang w:eastAsia="cs-CZ"/>
                      </w:rPr>
                      <w:t xml:space="preserve">Seriál článků z padesátileté historie kuželek na </w:t>
                    </w:r>
                    <w:proofErr w:type="spellStart"/>
                    <w:r w:rsidRPr="00826AC0">
                      <w:rPr>
                        <w:rFonts w:ascii="Arial" w:eastAsia="Times New Roman" w:hAnsi="Arial" w:cs="Arial"/>
                        <w:color w:val="003366"/>
                        <w:sz w:val="15"/>
                        <w:lang w:eastAsia="cs-CZ"/>
                      </w:rPr>
                      <w:t>třebíčsku</w:t>
                    </w:r>
                    <w:proofErr w:type="spellEnd"/>
                    <w:r w:rsidRPr="00826AC0">
                      <w:rPr>
                        <w:rFonts w:ascii="Arial" w:eastAsia="Times New Roman" w:hAnsi="Arial" w:cs="Arial"/>
                        <w:color w:val="003366"/>
                        <w:sz w:val="15"/>
                        <w:lang w:eastAsia="cs-CZ"/>
                      </w:rPr>
                      <w:t xml:space="preserve">, který vycházel v časopisu </w:t>
                    </w:r>
                    <w:proofErr w:type="spellStart"/>
                    <w:r w:rsidRPr="00826AC0">
                      <w:rPr>
                        <w:rFonts w:ascii="Arial" w:eastAsia="Times New Roman" w:hAnsi="Arial" w:cs="Arial"/>
                        <w:color w:val="003366"/>
                        <w:sz w:val="15"/>
                        <w:lang w:eastAsia="cs-CZ"/>
                      </w:rPr>
                      <w:t>Atomix</w:t>
                    </w:r>
                    <w:proofErr w:type="spellEnd"/>
                  </w:hyperlink>
                </w:p>
              </w:tc>
            </w:tr>
            <w:tr w:rsidR="00826AC0" w:rsidRPr="00826AC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7"/>
                      <w:szCs w:val="17"/>
                      <w:u w:val="single"/>
                      <w:lang w:eastAsia="cs-CZ"/>
                    </w:rPr>
                    <w:t>Něco málo z historie kuželkářského sportu</w:t>
                  </w:r>
                </w:p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Určit zodpovědně dobu vzniku hry v kuželky je úkol velmi těžký. Jasné však je, že kuželky jsou jednou z nejstarších her. Počátky této hry je možno přiřknout Asii v době babylonské 4500-1300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p.n.l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. První písemné zprávy se datují z 12 století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p.n.l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. a jejich autorem není nikdo jiný než řecký pěvec a básník Homér. Řeckými kolonisty pak byla hra v kuželky rozšířena do Itálie v 7 až 8. století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p.n.l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. Rozšíření hry do balkánských zemí můžeme položit do období 2. až 4. století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p.n.l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Do dalších evropských zemí se pak rozšířila za doby římského impéria. Hra v kuželky bývala doplňkem slavností v době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pokanské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. První písemné zprávy o hře v kuželky na našem území se zachovaly až z roku 1250 a byl to zákaz her Přemyslem Otakarem II. V našem písemnictví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náme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dostatek dokladů o tom, že hra v kuželky byla u nás velmi rozšířená.</w:t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br/>
                    <w:t xml:space="preserve">Dost obšírně popis hry v kuželky uvádí německý básník Hugo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von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Timberg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v díle "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Nenar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". Ve svém líčení se zmiňuje jen o třech kuželkách. V roce 1522 německý básník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Murner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již píše alegorickou báseň s námětem hry v kuželky. V této době byla hra v kuželky v Německu rozšířená a přenesla se do Nizozemska a Anglie. V německých perokresbách je devět kuželek postavených do čtverce a jsou poráženy koulí volně hozenou po zemi nebo koulí visutou, zavěšenou na šibenici. Na anglických perokresbách je počet různý - 6, 8, 9. Nejsou však postaveny do čtverce, nýbrž stojí v řadě. Házelo se do nich pálkou, obuškem, klackem z hlubokého podřepu nebo sedění na bobku.</w:t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br/>
                    <w:t>Zpočátku se házelo vhodnými kameny (oblázky) vzduchem na vzdálený cíl, koulelo se kulatými kameny po upravené zemi ve volném prostranství na kolíky rozestavené v přiměřené vzdálenost od sebe i od hráče. Později byla zem upravena po straně otesanými trámy, Vznikaly kuželníky nekryté a kryté, často jen v prostoru pro hráče.</w:t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br/>
                    <w:t xml:space="preserve">V další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vyvojové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etapě byla zem mezi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postannými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trámy speciálně upravena (udusána, pokryta pískem nebo betonem) a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trámi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se nahradily prkny - mantinely. Kameny nahrazovaly koule z tvrdého dřeva, jednoduché kolíky ustoupily dřevěným kuželům různých velikostí tvaru a počtu.</w:t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br/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br/>
                    <w:t>Kuželníky byly součásti hostinců. Teprve ve 20. století začala výstavba kuželníků organizovanými tělovýchovnými kroužky. Tyto kroužky mezi sebou soutěží a pořádají turnaje. Rychlý rozmach soutěžení dal podnět ke vzniku řídících orgánů. 11.ledna 1937 byla ustavena AČSK.</w:t>
                  </w:r>
                </w:p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800000"/>
                      <w:sz w:val="20"/>
                      <w:szCs w:val="20"/>
                      <w:u w:val="single"/>
                      <w:lang w:eastAsia="cs-CZ"/>
                    </w:rPr>
                    <w:t>Co předcházelo organizovaným kuželkám v Třebíči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  <w:u w:val="single"/>
                      <w:lang w:eastAsia="cs-CZ"/>
                    </w:rPr>
                    <w:t xml:space="preserve"> </w:t>
                  </w:r>
                </w:p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V Třebíči byla hra v kuželky provozována na kuželnách, které byly příslušenstvím téměř u všech hostinců. Kuželny sloužily k provozování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závavných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her jako šňůra, honéry, domečky, ruská, válečná, manželská, letecká atd. Často se tato zábava zvrhla v hazard a hrálo se o peníze až do časných ranních hodin. Byly také pořádány kolektivní soutěže v družstvech mezi hospodskými kroužky z Třebíče. Hlavní cenou takového utkání byla bečka piva na účet poraženého.</w:t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br/>
                    <w:t xml:space="preserve">Důležitým momentem pro kuželkářský sport bylo postavení nové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jednodráhy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s betonovým povrchem v Borovině. Kuželna byla otevřená takže hru v kuželky bylo možno provozovat jen v letních měsících. Hra na této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jednodráze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byla zahájena na jaře 1939. V roce 1945 byla kuželna zásluhou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lang w:eastAsia="cs-CZ"/>
                    </w:rPr>
                    <w:t>Adolfa Novotného</w:t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přispůsobena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tak, že se mohlo hrát i v zimě. V roce 1948 to byl opět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lang w:eastAsia="cs-CZ"/>
                    </w:rPr>
                    <w:t>Adolf Novotný</w:t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, který přišel s nápadem odpoutat se od hospodského koulení a přejít na bázi sportovní.</w:t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br/>
                    <w:t xml:space="preserve">Kolem návrhu přejít na sportovní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provádení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hry v kuželky se rozprostřela široká diskuze. Byl založen kuželkářský oddíl při Sokolu Klimentovy závody s počtem 20 členů. Bylo sehráno několik přátelských utkání s družstvy Znojma, Zlína, </w:t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lastRenderedPageBreak/>
                    <w:t xml:space="preserve">Pelhřimova a dalšími většinou vítězných. Členové oddílu brzy přišli k poznání, že takto prováděná hra v kuželky je daleko zajímavější .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Naspokojili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se jen s přátelskými zápasy a zatoužili po mistrovské soutěži. Bylo provedeno zaregistrování prvních 15. členů do Svazu moravskoslezských kuželkářů. Tyto průkopníky kuželek na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třebíčsku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se hodí vyjmenovat. Byli to:</w:t>
                  </w:r>
                </w:p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>A</w:t>
                  </w:r>
                  <w:proofErr w:type="spellEnd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 xml:space="preserve">.Novotný, F Kopl, A. </w:t>
                  </w:r>
                  <w:proofErr w:type="spellStart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>Holáň</w:t>
                  </w:r>
                  <w:proofErr w:type="spellEnd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 xml:space="preserve">, </w:t>
                  </w:r>
                  <w:proofErr w:type="spellStart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>K</w:t>
                  </w:r>
                  <w:proofErr w:type="spellEnd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>.</w:t>
                  </w:r>
                  <w:proofErr w:type="spellStart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>Kruba</w:t>
                  </w:r>
                  <w:proofErr w:type="spellEnd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 xml:space="preserve">, J Trnčák, </w:t>
                  </w:r>
                  <w:proofErr w:type="spellStart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>L</w:t>
                  </w:r>
                  <w:proofErr w:type="spellEnd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>.</w:t>
                  </w:r>
                  <w:proofErr w:type="spellStart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>Maloušek</w:t>
                  </w:r>
                  <w:proofErr w:type="spellEnd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 xml:space="preserve">, </w:t>
                  </w:r>
                  <w:proofErr w:type="spellStart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>B.Dřímal</w:t>
                  </w:r>
                  <w:proofErr w:type="spellEnd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 xml:space="preserve">, R. Bílek, </w:t>
                  </w:r>
                  <w:proofErr w:type="spellStart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>F.Bezděk</w:t>
                  </w:r>
                  <w:proofErr w:type="spellEnd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 xml:space="preserve">, </w:t>
                  </w:r>
                  <w:proofErr w:type="spellStart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>F.Kruba</w:t>
                  </w:r>
                  <w:proofErr w:type="spellEnd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 xml:space="preserve">, </w:t>
                  </w:r>
                  <w:proofErr w:type="spellStart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>J.Chalupník</w:t>
                  </w:r>
                  <w:proofErr w:type="spellEnd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 xml:space="preserve">, </w:t>
                  </w:r>
                  <w:proofErr w:type="spellStart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>J.Bajer</w:t>
                  </w:r>
                  <w:proofErr w:type="spellEnd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0000"/>
                      <w:sz w:val="20"/>
                      <w:lang w:eastAsia="cs-CZ"/>
                    </w:rPr>
                    <w:t>, K. Brázda, C. Skalka, J. Bouda.</w:t>
                  </w:r>
                </w:p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Tito závodníci sehráli již první oficiální přebory jednotlivců v jednotě. Počáteční disciplína byla 30 hodů. Prvních 8 závodníku postoupilo do disciplíny 50 hodů a čtyři nejlepší závodníci postoupily do disciplíny 100 hodů sdružených. Absolutním vítězem a prvním přeborníkem jednoty se stal výkonem 378 kuželek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lang w:eastAsia="cs-CZ"/>
                    </w:rPr>
                    <w:t xml:space="preserve">L.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lang w:eastAsia="cs-CZ"/>
                    </w:rPr>
                    <w:t>Maloušek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lang w:eastAsia="cs-CZ"/>
                    </w:rPr>
                    <w:t>.</w:t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br/>
                    <w:t xml:space="preserve">Na Moravě mají v té době nejstarší tradici se zaváděním kuželkářského sportu města Brno a Olomouc. V našem tehdy jihlavském kraji mají největší tradici města Třebíč, Jihlava, Pelhřimov a Velké Meziříčí. V době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usavení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kuželkářského oddílu v Borovině se sportovní kuželkářství v jihlavském kraji neprovozovalo a proto se oddíl obrátil na brněnský kraj s žádostí o zařazení do mistrovských soutěží. Žádosti bylo vyhověno a oddíl byl zařazen do okrsku Rosice. Od 1.ledna 1949 se zapojil do mistrovských soutěží. V jarní 30 hodové soutěži vybojovalo družstvo jako nováček titul mistra rosické župy bez ztráty bodu a postoupilo do krajské soutěže. Tato soutěž se hrála na 100 hodů na což nebyli hráči Borovina zvyklí a dále se neprobojovali. Pro hráče to však bylo poznání něčeho nového a dobrou školou pro další soutěžení. V podzimním kole se hrála soutěž v moravské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dorážkové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ve které se družstvo umístilo na druhém místě.</w:t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br/>
                    <w:t xml:space="preserve">Zásluhu na těchto úspěších mělo určitě i nošení kufru ve kterém bylo vybavení pro celé družstvo. Nejslabší závodník musel totiž nést kufr z utkání domů a ještě na příští utkání. Každý se snažil, aby se toho vystříhal, neboť se také někdy pěkně pronesl, když domů mimo dresů navíc přinesl cihlu nebo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hranešník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. Záleželo na tom co bylo po ruce a na šikovnosti jak to do kufru propašovat.</w:t>
                  </w:r>
                </w:p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bookmarkStart w:id="0" w:name="1950_-_1953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3366"/>
                      <w:sz w:val="20"/>
                      <w:szCs w:val="20"/>
                      <w:lang w:eastAsia="cs-CZ"/>
                    </w:rPr>
                    <w:t>1950 - 1953</w:t>
                  </w:r>
                  <w:bookmarkEnd w:id="0"/>
                  <w:r w:rsidRPr="00826AC0">
                    <w:rPr>
                      <w:rFonts w:ascii="Times New Roman CE" w:eastAsia="Times New Roman" w:hAnsi="Times New Roman CE" w:cs="Times New Roman CE"/>
                      <w:color w:val="800000"/>
                      <w:sz w:val="15"/>
                      <w:szCs w:val="15"/>
                      <w:lang w:eastAsia="cs-CZ"/>
                    </w:rPr>
                    <w:br/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Historie a rozvoj kuželkářského sportu v Třebíči jest navázáním na bohatou historii kuželkářského oddílu Boroviny, kde hlavním iniciátorem rozvoje kuželek byl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szCs w:val="17"/>
                      <w:lang w:eastAsia="cs-CZ"/>
                    </w:rPr>
                    <w:t>Adolf Novotný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>. Ovšem, aby bylo jasno, jde tu o kuželkářský sport, neboť hra v kuželky, ve formě zábavy, již byla v Třebíči známa dávno před tím.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br/>
                    <w:t xml:space="preserve">Prvním organizátorem kuželkářského sportu v Třebíči byl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szCs w:val="17"/>
                      <w:lang w:eastAsia="cs-CZ"/>
                    </w:rPr>
                    <w:t>Karel Kadlec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>, který s hrstkou věrných kamarádů hrál závodně pod hlavičkou Jiskry Borovina jako oddíl 5, který byl složen výhradně z třebíčských hráčů. Vcelku lze říci, že tento oddíl byl obávaným soupeřem a mnohokrát proháněl i 1.družstvo Jiskry. Psal se rok 1950, možno tedy tento rok označit jako začátek kuželkářského sportu v Třebíči.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br/>
                    <w:t xml:space="preserve">V roce 1949 byl zřízen kuželkářský odbor při KVTVS Jihlava. Předsedou této sekce byl zvolen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szCs w:val="17"/>
                      <w:lang w:eastAsia="cs-CZ"/>
                    </w:rPr>
                    <w:t>Adolf Novotný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, který tuto funkci zastával až do roku 1956. Úkolem této sekce bylo rozšíření kuželkářského sportu na další okresy tak aby bylo možné hrát krajské soutěže. V této době zrodu kuželkářského sportu a v Jihlavském kraji vůbec, byli kuželkáři v Třebíči postiženi velkou ztrátou, když musel veškeré činnosti zanechat po těžkém úrazu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szCs w:val="17"/>
                      <w:lang w:eastAsia="cs-CZ"/>
                    </w:rPr>
                    <w:t>Karel Kadlec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, hlavní tvůrce a organizátor kuželkářského sportu. Starost o další rozvoj kuželkářského sportu pak převzal hráč 5.oddílu Vlasta Prokeš. Bylo opravdu třeba velké houževnatosti a pevné vůle, aby vzešlé semínko kuželkářského sportu v Třebíči nebylo zadušeno hned v zárodku.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szCs w:val="17"/>
                      <w:lang w:eastAsia="cs-CZ"/>
                    </w:rPr>
                    <w:t>Vlasta Prokeš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 byl uvolněn s celým 5.oddílem do Slavoje Třebíč. V té době začali projevovat zájem o kuželkářský sport také v UP. Závodech a v TJ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>Tatran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. Prokeš po změně zaměstnání, právě přešel do tohoto závodu , takže nic nebránilo tomu, aby byl založen nový oddíl, jehož předsedou byl zvolen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szCs w:val="17"/>
                      <w:lang w:eastAsia="cs-CZ"/>
                    </w:rPr>
                    <w:t>Josef Ondráček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, jednatelem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szCs w:val="17"/>
                      <w:lang w:eastAsia="cs-CZ"/>
                    </w:rPr>
                    <w:t>Vlasta Prokeš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 a pokladníkem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br/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szCs w:val="17"/>
                      <w:lang w:eastAsia="cs-CZ"/>
                    </w:rPr>
                    <w:t xml:space="preserve">B.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szCs w:val="17"/>
                      <w:lang w:eastAsia="cs-CZ"/>
                    </w:rPr>
                    <w:t>Culka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. To bylo v roce 1953. Součastně se podařilo založit další kuželkářský oddíl a to při ZMS Třebíč - TJ Spartak. Předsedou tohoto oddílu byl zvolen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szCs w:val="17"/>
                      <w:lang w:eastAsia="cs-CZ"/>
                    </w:rPr>
                    <w:t>Karel Novák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>.</w:t>
                  </w:r>
                </w:p>
                <w:p w:rsidR="00826AC0" w:rsidRPr="00826AC0" w:rsidRDefault="00826AC0" w:rsidP="00826AC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bookmarkStart w:id="1" w:name="1955_-_1956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3366"/>
                      <w:sz w:val="20"/>
                      <w:szCs w:val="20"/>
                      <w:lang w:eastAsia="cs-CZ"/>
                    </w:rPr>
                    <w:t>1955 - 1956</w:t>
                  </w:r>
                  <w:bookmarkEnd w:id="1"/>
                  <w:r w:rsidRPr="00826AC0">
                    <w:rPr>
                      <w:rFonts w:ascii="Times New Roman CE" w:eastAsia="Times New Roman" w:hAnsi="Times New Roman CE" w:cs="Times New Roman CE"/>
                      <w:color w:val="800000"/>
                      <w:sz w:val="15"/>
                      <w:szCs w:val="15"/>
                      <w:lang w:eastAsia="cs-CZ"/>
                    </w:rPr>
                    <w:br/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Počátkem roku se naplňuje sen třebíčských kuželkářů, když výbor TJ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>Tatranu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 povolil výstavbu nové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>dvoudráhy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 v Dělnickém domě. Tato byla dostavěna v roce 1956. V tomto roce byl v Třebíči ustanoven další kuželkářský oddíl RH Třebíč, kde hlavním organizátorem byl hráč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>Tatranu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szCs w:val="17"/>
                      <w:lang w:eastAsia="cs-CZ"/>
                    </w:rPr>
                    <w:t>Franta Bartůněk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. Tím byl dán základ k hodnotné soutěži v rámci okresu Třebíč. Startovalo celkem 7.družstev. RH Třebíč, ZMS Třebíč, Jiskra Borovina I ,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>Tatran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 Třebíč, Jiskra Borovina II, ZMS Třebíč II, Jiskra Borovina III. Vítězem této soutěže se stalo družstvo Jiskry I. V roce 1954 tak reprezentují Třebíč kromě Boroviny tři oddíly -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>Tatran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, Spartak a Rudá Hvězda. Oddíl Spartaku si v roce 1955 vybojoval postup do krajského přeboru Jihlavského kraje, který byl vytvořen krajskou sekcí . V té době byli jmenování za členy krajské sekce zástupci oddílu Spartaku a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>Tatranu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lang w:eastAsia="cs-CZ"/>
                    </w:rPr>
                    <w:t xml:space="preserve">Karel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lang w:eastAsia="cs-CZ"/>
                    </w:rPr>
                    <w:t>Smílek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 a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lang w:eastAsia="cs-CZ"/>
                    </w:rPr>
                    <w:t xml:space="preserve">Vlasta Prokeš, 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kteří pak byli činní v této sekci až do jejího zrušení v rámci reorganizací krajů. Do čela okresní sekce byl zvolen dosavadní předseda Spartaku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lang w:eastAsia="cs-CZ"/>
                    </w:rPr>
                    <w:t>Karel Novák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>, kterého později vystřídal Vlasta Prokeš.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br/>
                    <w:t xml:space="preserve">V roce 1955 se zúčastnil přeboru Jihlavského kraje Spartak Třebíč, který si tuto účast vybojoval vítězstvím v okresním přeboru. Tento oddíl byl doplněn hráči tehdejšího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>Tatranu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, který ještě dohrával svoji soutěž v rámci okresu. To se již rýsovalo předběžně chystané sjednocení třebíčských jednot. V třebíčských oddílech bylo několik velmi dobrých hráčů  a v případě sjednocení by představovali velmi silný celek. V průběhu roku pokračoval zvolna oddíl TJ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>Tatran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 ve výstavbě nové kuželny, která již byla pod střechou. Jak finančních prostředků tak pracovníků se nedostávalo posunulo se dokončení až do dalšího roku. Zahájení provozu na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>dvoudráze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 Spartaku Třebíč bylo oficiálně provedeno 23.6.1956. K tomuto slavnostnímu zahájení byly sehrány dva meziokresní přátelské zápasy mezi Třebíčí a Brnem a druhý den Třebíč - Karlovy Vary</w:t>
                  </w:r>
                  <w:r w:rsidRPr="00826AC0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t xml:space="preserve"> 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05"/>
                    <w:gridCol w:w="3605"/>
                  </w:tblGrid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Třebíč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Brno</w:t>
                        </w:r>
                      </w:p>
                    </w:tc>
                  </w:tr>
                </w:tbl>
                <w:p w:rsidR="00826AC0" w:rsidRPr="00826AC0" w:rsidRDefault="00826AC0" w:rsidP="00826A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50"/>
                    <w:gridCol w:w="1255"/>
                    <w:gridCol w:w="1255"/>
                    <w:gridCol w:w="2350"/>
                  </w:tblGrid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Kršňák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J.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348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353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Hubl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Bartůněk Fr.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358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374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Drápal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lastRenderedPageBreak/>
                          <w:t>Hašek Fr.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329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328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Staněk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Culka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B.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336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345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Čech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Bartuněk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E.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296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306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Kočí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Smilek K.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369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Kovařík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Novotný O.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351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376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Pivoda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Prokeš </w:t>
                        </w: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Vl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341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379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Hanák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2728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2811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7"/>
                            <w:lang w:eastAsia="cs-CZ"/>
                          </w:rPr>
                          <w:t>+83</w:t>
                        </w:r>
                      </w:p>
                    </w:tc>
                  </w:tr>
                </w:tbl>
                <w:p w:rsidR="00826AC0" w:rsidRPr="00826AC0" w:rsidRDefault="00826AC0" w:rsidP="00826A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05"/>
                    <w:gridCol w:w="3605"/>
                  </w:tblGrid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Třebíč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Karlovy Vary</w:t>
                        </w:r>
                      </w:p>
                    </w:tc>
                  </w:tr>
                </w:tbl>
                <w:p w:rsidR="00826AC0" w:rsidRPr="00826AC0" w:rsidRDefault="00826AC0" w:rsidP="00826A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50"/>
                    <w:gridCol w:w="1255"/>
                    <w:gridCol w:w="1255"/>
                    <w:gridCol w:w="2350"/>
                  </w:tblGrid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Janáček K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387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354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Hronek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Prokeš </w:t>
                        </w: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Vl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347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393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Malát</w:t>
                        </w:r>
                        <w:proofErr w:type="spellEnd"/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Pokorný B.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7"/>
                            <w:lang w:eastAsia="cs-CZ"/>
                          </w:rPr>
                          <w:t>402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359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Šamaj</w:t>
                        </w:r>
                        <w:proofErr w:type="spellEnd"/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Skalka C.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336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361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Vítek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Kršňák</w:t>
                        </w:r>
                        <w:proofErr w:type="spellEnd"/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337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Hrdlička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Novotný O.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339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363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Pazdera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Bartůněk Fr.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345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333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Bartoška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Malata</w:t>
                        </w:r>
                        <w:proofErr w:type="spellEnd"/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372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369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Černý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2865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2882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7"/>
                            <w:lang w:eastAsia="cs-CZ"/>
                          </w:rPr>
                          <w:t>+17</w:t>
                        </w:r>
                      </w:p>
                    </w:tc>
                  </w:tr>
                </w:tbl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V prvním zápase zvítězili hosté díky vyrovnanějšímu výkonu a hlavně pak větší zápasovou zkušeností. Celkové výkony byly ovlivněny novou dráhou. Ve druhém zápase hrál již výběr z několika oddílů. Jiskra Borovina - Janáček, Skalka,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>Malata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>, Jihlava - Pokorný. Výkony se oproti prvnímu dni zlepšily a tak konečný výsledek nebyl tak špatný vzhledem ke kvalitě soupeře a nové dráze.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br/>
                    <w:t xml:space="preserve">Jak již bylo uvedeno v úvodu stavba byla zahájena v roce 1954. Celkem bylo odpracováno 4445 brigádnických hodin na hrubé stavbě a další pak na dohotovení stavby. Nejvíce se na výstavbě podílel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lang w:eastAsia="cs-CZ"/>
                    </w:rPr>
                    <w:t>Vlasta Prokeš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 1275 hod,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lang w:eastAsia="cs-CZ"/>
                    </w:rPr>
                    <w:t>Franta Bartůněk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 970 hod,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lang w:eastAsia="cs-CZ"/>
                    </w:rPr>
                    <w:t>Emil Bartůněk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 930.</w:t>
                  </w:r>
                </w:p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>Dne 18</w:t>
                  </w:r>
                  <w:r w:rsidRPr="00826AC0">
                    <w:rPr>
                      <w:rFonts w:ascii="Arial" w:eastAsia="Times New Roman" w:hAnsi="Arial" w:cs="Arial"/>
                      <w:i/>
                      <w:iCs/>
                      <w:color w:val="400000"/>
                      <w:sz w:val="17"/>
                      <w:lang w:eastAsia="cs-CZ"/>
                    </w:rPr>
                    <w:t xml:space="preserve">. 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prosince 1955 na veřejné schůzi všech třebíčských tělovýchovných jednot bylo odhlasováno a schváleno sjednocení v jednu, která ponese název TJ Spartak Třebíč tím došlo ke sloučení dosavadních kuželkářských oddílů. V sezóně 1956 bylo toto družstvo účastníkem přeboru kraje Jihlava. Předsedou oddílu byl zvolen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lang w:eastAsia="cs-CZ"/>
                    </w:rPr>
                    <w:t>Karel Novák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 xml:space="preserve"> , jednatelem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lang w:eastAsia="cs-CZ"/>
                    </w:rPr>
                    <w:t xml:space="preserve">Karel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lang w:eastAsia="cs-CZ"/>
                    </w:rPr>
                    <w:t>Smílek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400000"/>
                      <w:sz w:val="17"/>
                      <w:lang w:eastAsia="cs-CZ"/>
                    </w:rPr>
                    <w:t xml:space="preserve">. </w:t>
                  </w:r>
                  <w:r w:rsidRPr="00826AC0">
                    <w:rPr>
                      <w:rFonts w:ascii="Arial" w:eastAsia="Times New Roman" w:hAnsi="Arial" w:cs="Arial"/>
                      <w:color w:val="400000"/>
                      <w:sz w:val="17"/>
                      <w:szCs w:val="17"/>
                      <w:lang w:eastAsia="cs-CZ"/>
                    </w:rPr>
                    <w:t>Nově vzniklý oddíl měl 40 členů. Byly utvořeny tři družstva s následujícím obsazením:</w:t>
                  </w:r>
                </w:p>
                <w:tbl>
                  <w:tblPr>
                    <w:tblW w:w="4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0"/>
                    <w:gridCol w:w="6831"/>
                  </w:tblGrid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>A družstvo</w:t>
                        </w:r>
                      </w:p>
                    </w:tc>
                    <w:tc>
                      <w:tcPr>
                        <w:tcW w:w="40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 xml:space="preserve">V. Prokeš, O. Růžička, Fr. Hašek O. Novotný, K. </w:t>
                        </w: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>Smílek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 xml:space="preserve">, J. </w:t>
                        </w: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>Kršňák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>, Fr. Bartůněk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>B družstvo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 xml:space="preserve">E. Bartůněk, A. Pavlíček, B. </w:t>
                        </w: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>Culka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 xml:space="preserve">, F. Fišer, O. Navrátil, J. </w:t>
                        </w: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>Pejzl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 xml:space="preserve">, A. Pokorný, J. </w:t>
                        </w: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>Maštera</w:t>
                        </w:r>
                        <w:proofErr w:type="spellEnd"/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>C. družstvo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 xml:space="preserve">J. </w:t>
                        </w: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>Pacner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 xml:space="preserve">, L. </w:t>
                        </w: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>Pialek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>L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>.</w:t>
                        </w: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>Kuřec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cs-CZ"/>
                          </w:rPr>
                          <w:t>, F. Bajer, F. Moravec, J. Ondráček, J. Kokeš, Krčál</w:t>
                        </w:r>
                      </w:p>
                    </w:tc>
                  </w:tr>
                </w:tbl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Přeborníkem jednoty pro rok 1956 se stal Emil Bartůněk, který na dva náhozy dosáhl průměru 396. Přeborníkem okresu pak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Holáň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z Jiskry Borovina. Ze Spartaku Třebíč se nejlépe umístil O. Růžička na 5. místě výkonem 401. Toto vše se ještě odehrávalo na kuželně v Borovině</w:t>
                  </w:r>
                  <w:r w:rsidRPr="00826AC0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t xml:space="preserve"> </w:t>
                  </w:r>
                </w:p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bookmarkStart w:id="2" w:name="1956_-_1957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3366"/>
                      <w:sz w:val="20"/>
                      <w:lang w:eastAsia="cs-CZ"/>
                    </w:rPr>
                    <w:t>1956 - 1957</w:t>
                  </w:r>
                  <w:bookmarkEnd w:id="2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br/>
                    <w:t>V novém ročníku hrála družstva "A" i "B" krajský přebor jihlavského kraje. Oba týmy nedoznaly vážnějších změn v sestavách. Zato "C" družstvo se po odehrání okresního přeboru rozpadlo. "A" družstvo obsadilo v krajském přeboru první místo a získalo tím právo v účasti v kvalifikační skupině o postup do oblastní soutěže. Kvalifikace se hrálo v Ostravě. Třebíčské družstvo se umístilo na čtvrtém místě ze šesti. Postup měly zajištěn první tři družstva. Tím bylo třebíčské družstvo odsouzeno hrát přebor Jihlavského kraje další ročník. "B" družstvo obsadilo v té samé soutěži sedmou příčku. Celkem startovalo 10. družstev.</w:t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br/>
                    <w:t>Přeborníkem jednoty se stal Olin Růžička průměrem 749 ze dvou startů. Hrálo se na 200 hodů sdružených. Do okresní přeborů jednotlivců postupovalo 5 závodníků. Titul přeborníka okresu získal Vlasta Prokeš výkonem 817.</w:t>
                  </w:r>
                </w:p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25.11.1956 bylo na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dvoudráze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v Dělnickém domě sehráno meziměstské utkání proti Plzni.</w:t>
                  </w:r>
                </w:p>
                <w:tbl>
                  <w:tblPr>
                    <w:tblW w:w="2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93"/>
                    <w:gridCol w:w="2613"/>
                  </w:tblGrid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10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Třebíč</w:t>
                        </w:r>
                      </w:p>
                    </w:tc>
                    <w:tc>
                      <w:tcPr>
                        <w:tcW w:w="14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Plzeň</w:t>
                        </w:r>
                      </w:p>
                    </w:tc>
                  </w:tr>
                </w:tbl>
                <w:p w:rsidR="00826AC0" w:rsidRPr="00826AC0" w:rsidRDefault="00826AC0" w:rsidP="00826A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tbl>
                  <w:tblPr>
                    <w:tblW w:w="4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45"/>
                    <w:gridCol w:w="1411"/>
                    <w:gridCol w:w="1411"/>
                    <w:gridCol w:w="2644"/>
                  </w:tblGrid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Prokeš </w:t>
                        </w: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Vl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7"/>
                            <w:lang w:eastAsia="cs-CZ"/>
                          </w:rPr>
                          <w:t>408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394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Novotný J.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Smilek K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362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352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Čipera J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Pejzl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J.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330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356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Elznic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M.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Novotný O.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352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332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Rádl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K.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Bartůněk E.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347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358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Šašek J.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Kršňák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378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341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Terč O.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Maštera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353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386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Koubek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Růžička O.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7"/>
                            <w:lang w:eastAsia="cs-CZ"/>
                          </w:rPr>
                          <w:t>423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372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Hanzlík E.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7"/>
                            <w:lang w:eastAsia="cs-CZ"/>
                          </w:rPr>
                          <w:t>+62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2953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2891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bookmarkStart w:id="3" w:name="1957_-_1958"/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3366"/>
                      <w:sz w:val="20"/>
                      <w:lang w:eastAsia="cs-CZ"/>
                    </w:rPr>
                    <w:t>1957 - 1958</w:t>
                  </w:r>
                  <w:r w:rsidRPr="00826AC0">
                    <w:rPr>
                      <w:rFonts w:ascii="Times New Roman CE" w:eastAsia="Times New Roman" w:hAnsi="Times New Roman CE" w:cs="Times New Roman CE"/>
                      <w:b/>
                      <w:bCs/>
                      <w:color w:val="003366"/>
                      <w:sz w:val="20"/>
                      <w:szCs w:val="20"/>
                      <w:lang w:eastAsia="cs-CZ"/>
                    </w:rPr>
                    <w:br/>
                  </w:r>
                  <w:bookmarkEnd w:id="3"/>
                  <w:r w:rsidRPr="00826AC0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t xml:space="preserve">V této sezóně hrají družstva v krajském přeboru. Jako vedoucí družstva "A" je zvolen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lang w:eastAsia="cs-CZ"/>
                    </w:rPr>
                    <w:t>Vlasta Prokeš</w:t>
                  </w:r>
                  <w:r w:rsidRPr="00826AC0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t xml:space="preserve"> a družstva "B"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lang w:eastAsia="cs-CZ"/>
                    </w:rPr>
                    <w:t>Franta Bartůněk</w:t>
                  </w:r>
                  <w:r w:rsidRPr="00826AC0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t xml:space="preserve">, který na tomto postě vystřídal B.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t>Culky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t xml:space="preserve">, který posílil "A" družstvo. V půli sezóny se vrací Bartůněk do "A" družstva a vedoucím "B" je zvolen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t>J.Maštera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t xml:space="preserve">. Do oddílu přibyli noví členové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lang w:eastAsia="cs-CZ"/>
                    </w:rPr>
                    <w:t>Zd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lang w:eastAsia="cs-CZ"/>
                    </w:rPr>
                    <w:t xml:space="preserve">.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lang w:eastAsia="cs-CZ"/>
                    </w:rPr>
                    <w:t>Fejta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lang w:eastAsia="cs-CZ"/>
                    </w:rPr>
                    <w:t xml:space="preserve"> a St. Neradil</w:t>
                  </w:r>
                  <w:r w:rsidRPr="00826AC0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t xml:space="preserve">. (Oba v </w:t>
                  </w:r>
                  <w:r w:rsidRPr="00826AC0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lastRenderedPageBreak/>
                    <w:t>budoucnu budou patřit k pilířům kuželkářského sportu v Třebíči)</w:t>
                  </w:r>
                </w:p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r w:rsidRPr="00826AC0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t>Výsledky přeborů jednotlivců na 100 a 200 hodů sdružených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7"/>
                    <w:gridCol w:w="2374"/>
                    <w:gridCol w:w="502"/>
                  </w:tblGrid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 xml:space="preserve">Přebory jednoty na 100 </w:t>
                        </w: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hs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 xml:space="preserve"> na dva starty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Olin Růžička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800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Vlasta Prokeš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781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Emil Bartůněk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781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 xml:space="preserve">Přebory okresu na 100 </w:t>
                        </w: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hs</w:t>
                        </w:r>
                        <w:proofErr w:type="spellEnd"/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 xml:space="preserve"> na dva starty</w:t>
                        </w: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Olin Růžička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813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Vlasta Prokeš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785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František Drápela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783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 xml:space="preserve">Přebory jednoty na 200 </w:t>
                        </w: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lang w:eastAsia="cs-CZ"/>
                          </w:rPr>
                          <w:t>hs</w:t>
                        </w:r>
                        <w:proofErr w:type="spellEnd"/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Olin Růžička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776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2..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Olin Novotný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756</w:t>
                        </w:r>
                      </w:p>
                    </w:tc>
                  </w:tr>
                  <w:tr w:rsidR="00826AC0" w:rsidRPr="00826AC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3..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Jaroslav </w:t>
                        </w:r>
                        <w:proofErr w:type="spellStart"/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Kršňák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AC0" w:rsidRPr="00826AC0" w:rsidRDefault="00826AC0" w:rsidP="00826A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826AC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cs-CZ"/>
                          </w:rPr>
                          <w:t>751</w:t>
                        </w:r>
                      </w:p>
                    </w:tc>
                  </w:tr>
                </w:tbl>
                <w:p w:rsidR="00826AC0" w:rsidRPr="00826AC0" w:rsidRDefault="00826AC0" w:rsidP="00826AC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V této sezóně reprezentují Jihlavský kraj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lang w:eastAsia="cs-CZ"/>
                    </w:rPr>
                    <w:t xml:space="preserve">Olin Růžička, Vlasta Prokeš, Jaroslav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lang w:eastAsia="cs-CZ"/>
                    </w:rPr>
                    <w:t>Kršňák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lang w:eastAsia="cs-CZ"/>
                    </w:rPr>
                    <w:t xml:space="preserve"> a František Hašek</w:t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.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lang w:eastAsia="cs-CZ"/>
                    </w:rPr>
                    <w:t>Vlasta Prokeš</w:t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je zvolen předsedou okresní sekce. V dlouhodobé soutěži, krajském přeboru vítězí "A" družstvo a opět získalo možnost účastnit se kvalifikace o postup do oblasti. V tomto roce byla ještě zvýšena možnost úspěchu tím, že měla postupovat čtyři mužstva. Spartakovci si tuto příležitost nenechali ujít a vybojovali postup.</w:t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br/>
                    <w:t xml:space="preserve">O zvyšující se úrovní kuželkářského sportu v Třebíči svědčí i výsledek mistrovského utkání krajského přeboru mezi domácím Spartakem a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Tatranem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Jihlava při kterém byly překonány hned dva krajské rekordy a zároveň rekord třebíčské kuželny. Družstvo dosáhlo výkonu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lang w:eastAsia="cs-CZ"/>
                    </w:rPr>
                    <w:t>2633</w:t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poražených kuželek v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tété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sestavě</w:t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br/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lang w:eastAsia="cs-CZ"/>
                    </w:rPr>
                    <w:t xml:space="preserve">Prokeš 478,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lang w:eastAsia="cs-CZ"/>
                    </w:rPr>
                    <w:t>Kršňák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lang w:eastAsia="cs-CZ"/>
                    </w:rPr>
                    <w:t xml:space="preserve"> 430,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lang w:eastAsia="cs-CZ"/>
                    </w:rPr>
                    <w:t>Smílek</w:t>
                  </w:r>
                  <w:proofErr w:type="spellEnd"/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lang w:eastAsia="cs-CZ"/>
                    </w:rPr>
                    <w:t xml:space="preserve"> 414, Novotný 422, Bartůněk Fr. 436, Růžička 453.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cs-CZ"/>
                    </w:rPr>
                    <w:br/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Také výkon </w:t>
                  </w:r>
                  <w:r w:rsidRPr="00826A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lang w:eastAsia="cs-CZ"/>
                    </w:rPr>
                    <w:t>Vlasty Prokeše</w:t>
                  </w:r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je novým krajským rekordem a rekordem třebíčské </w:t>
                  </w:r>
                  <w:proofErr w:type="spellStart"/>
                  <w:r w:rsidRPr="00826A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dvoudráhy</w:t>
                  </w:r>
                  <w:proofErr w:type="spellEnd"/>
                </w:p>
              </w:tc>
            </w:tr>
          </w:tbl>
          <w:p w:rsidR="00826AC0" w:rsidRPr="00826AC0" w:rsidRDefault="00826AC0" w:rsidP="00826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2E2641" w:rsidRDefault="002E2641"/>
    <w:sectPr w:rsidR="002E2641" w:rsidSect="002E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AC0"/>
    <w:rsid w:val="002E2641"/>
    <w:rsid w:val="00826AC0"/>
    <w:rsid w:val="00B711F1"/>
    <w:rsid w:val="00E8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6AC0"/>
    <w:rPr>
      <w:strike w:val="0"/>
      <w:dstrike w:val="0"/>
      <w:color w:val="003366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82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26AC0"/>
    <w:rPr>
      <w:i/>
      <w:iCs/>
    </w:rPr>
  </w:style>
  <w:style w:type="character" w:styleId="Siln">
    <w:name w:val="Strong"/>
    <w:basedOn w:val="Standardnpsmoodstavce"/>
    <w:uiPriority w:val="22"/>
    <w:qFormat/>
    <w:rsid w:val="00826AC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quick.cz/kupova/historie/atomix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2245</Words>
  <Characters>13250</Characters>
  <Application>Microsoft Office Word</Application>
  <DocSecurity>0</DocSecurity>
  <Lines>110</Lines>
  <Paragraphs>30</Paragraphs>
  <ScaleCrop>false</ScaleCrop>
  <Company>ERC Emise Redukce Concepty, s.r.o.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Kantor</dc:creator>
  <cp:lastModifiedBy>Vladimír Kantor</cp:lastModifiedBy>
  <cp:revision>1</cp:revision>
  <dcterms:created xsi:type="dcterms:W3CDTF">2016-01-16T17:41:00Z</dcterms:created>
  <dcterms:modified xsi:type="dcterms:W3CDTF">2016-01-16T17:42:00Z</dcterms:modified>
</cp:coreProperties>
</file>